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  <w:shd w:val="clear" w:fill="0A0A0A"/>
          </w:tcPr>
          <w:p>
            <w:r>
              <w:rPr>
                <w:b/>
                <w:color w:val="FFFFFF"/>
                <w:sz w:val="40"/>
              </w:rPr>
              <w:t>Interview Scorecard</w:t>
            </w:r>
          </w:p>
          <w:p>
            <w:r>
              <w:rPr>
                <w:color w:val="99EEDD"/>
              </w:rPr>
              <w:t>Finance hiring · built on the Gravitate Baseline</w:t>
            </w:r>
          </w:p>
        </w:tc>
        <w:tc>
          <w:tcPr>
            <w:tcW w:type="dxa" w:w="5159"/>
            <w:shd w:val="clear" w:fill="0A0A0A"/>
          </w:tcPr>
          <w:p>
            <w:r>
              <w:drawing>
                <wp:inline xmlns:a="http://schemas.openxmlformats.org/drawingml/2006/main" xmlns:pic="http://schemas.openxmlformats.org/drawingml/2006/picture">
                  <wp:extent cx="1080000" cy="5683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83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0C9787"/>
          <w:sz w:val="24"/>
        </w:rPr>
        <w:t>Role &amp; candidate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t>Role title:</w:t>
            </w:r>
          </w:p>
        </w:tc>
        <w:tc>
          <w:tcPr>
            <w:tcW w:type="dxa" w:w="5159"/>
          </w:tcPr>
          <w:p>
            <w:r>
              <w:t>Company:</w:t>
            </w:r>
          </w:p>
        </w:tc>
      </w:tr>
      <w:tr>
        <w:tc>
          <w:tcPr>
            <w:tcW w:type="dxa" w:w="5159"/>
          </w:tcPr>
          <w:p>
            <w:r>
              <w:t>Candidate name:</w:t>
            </w:r>
          </w:p>
        </w:tc>
        <w:tc>
          <w:tcPr>
            <w:tcW w:type="dxa" w:w="5159"/>
          </w:tcPr>
          <w:p>
            <w:r>
              <w:t>Interview stage (1st / 2nd):</w:t>
            </w:r>
          </w:p>
        </w:tc>
      </w:tr>
      <w:tr>
        <w:tc>
          <w:tcPr>
            <w:tcW w:type="dxa" w:w="5159"/>
          </w:tcPr>
          <w:p>
            <w:r>
              <w:t>Interviewer:</w:t>
            </w:r>
          </w:p>
        </w:tc>
        <w:tc>
          <w:tcPr>
            <w:tcW w:type="dxa" w:w="5159"/>
          </w:tcPr>
          <w:p>
            <w:r>
              <w:t>Date:</w:t>
            </w:r>
          </w:p>
        </w:tc>
      </w:tr>
    </w:tbl>
    <w:p>
      <w:r>
        <w:rPr>
          <w:b/>
          <w:color w:val="0C9787"/>
          <w:sz w:val="24"/>
        </w:rPr>
        <w:t>The Gravitate Baseline – five equally weighted criteria</w:t>
      </w:r>
    </w:p>
    <w:p>
      <w:r>
        <w:t>Score each criterion 1–5: 1 no evidence · 2 limited · 3 meets the bar · 4 strong · 5 exceptional. Score straight after the interview, before discussing with other interviewers.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shd w:val="clear" w:fill="0C9787"/>
          </w:tcPr>
          <w:p>
            <w:r>
              <w:rPr>
                <w:b/>
                <w:color w:val="FFFFFF"/>
              </w:rPr>
              <w:t>Criterion</w:t>
            </w:r>
          </w:p>
        </w:tc>
        <w:tc>
          <w:tcPr>
            <w:tcW w:type="dxa" w:w="2579"/>
            <w:shd w:val="clear" w:fill="0C9787"/>
          </w:tcPr>
          <w:p>
            <w:r>
              <w:rPr>
                <w:b/>
                <w:color w:val="FFFFFF"/>
              </w:rPr>
              <w:t>What good looks like</w:t>
            </w:r>
          </w:p>
        </w:tc>
        <w:tc>
          <w:tcPr>
            <w:tcW w:type="dxa" w:w="2579"/>
            <w:shd w:val="clear" w:fill="0C9787"/>
          </w:tcPr>
          <w:p>
            <w:r>
              <w:rPr>
                <w:b/>
                <w:color w:val="FFFFFF"/>
              </w:rPr>
              <w:t>Score (1–5)</w:t>
            </w:r>
          </w:p>
        </w:tc>
        <w:tc>
          <w:tcPr>
            <w:tcW w:type="dxa" w:w="2579"/>
            <w:shd w:val="clear" w:fill="0C9787"/>
          </w:tcPr>
          <w:p>
            <w:r>
              <w:rPr>
                <w:b/>
                <w:color w:val="FFFFFF"/>
              </w:rPr>
              <w:t>Evidence notes</w:t>
            </w:r>
          </w:p>
        </w:tc>
      </w:tr>
      <w:tr>
        <w:tc>
          <w:tcPr>
            <w:tcW w:type="dxa" w:w="2579"/>
          </w:tcPr>
          <w:p>
            <w:r>
              <w:rPr>
                <w:b/>
              </w:rPr>
              <w:t>Proactivity</w:t>
            </w:r>
          </w:p>
          <w:p>
            <w:r>
              <w:rPr>
                <w:sz w:val="16"/>
              </w:rPr>
              <w:t>Takes ownership of problems and improvements without waiting to be asked.</w:t>
            </w:r>
          </w:p>
        </w:tc>
        <w:tc>
          <w:tcPr>
            <w:tcW w:type="dxa" w:w="2579"/>
          </w:tcPr>
          <w:p>
            <w:r>
              <w:t>Gives specific examples of spotting an issue (e.g. a slow close, a weak control, a manual report) and fixing it unprompted.</w:t>
            </w:r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  <w:tr>
        <w:tc>
          <w:tcPr>
            <w:tcW w:type="dxa" w:w="2579"/>
          </w:tcPr>
          <w:p>
            <w:r>
              <w:rPr>
                <w:b/>
              </w:rPr>
              <w:t>Accountability</w:t>
            </w:r>
          </w:p>
          <w:p>
            <w:r>
              <w:rPr>
                <w:sz w:val="16"/>
              </w:rPr>
              <w:t>Owns their numbers, deadlines and mistakes, and fixes what's theirs to fix.</w:t>
            </w:r>
          </w:p>
        </w:tc>
        <w:tc>
          <w:tcPr>
            <w:tcW w:type="dxa" w:w="2579"/>
          </w:tcPr>
          <w:p>
            <w:r>
              <w:t>Talks about errors honestly, explains what they changed, and doesn't shift blame to systems or colleagues.</w:t>
            </w:r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  <w:tr>
        <w:tc>
          <w:tcPr>
            <w:tcW w:type="dxa" w:w="2579"/>
          </w:tcPr>
          <w:p>
            <w:r>
              <w:rPr>
                <w:b/>
              </w:rPr>
              <w:t>Commitment to the role</w:t>
            </w:r>
          </w:p>
          <w:p>
            <w:r>
              <w:rPr>
                <w:sz w:val="16"/>
              </w:rPr>
              <w:t>Wants this role for reasons it can satisfy, not just the salary.</w:t>
            </w:r>
          </w:p>
        </w:tc>
        <w:tc>
          <w:tcPr>
            <w:tcW w:type="dxa" w:w="2579"/>
          </w:tcPr>
          <w:p>
            <w:r>
              <w:t>Clear, consistent reasons for moving that this role meets; has thought about the commute, notice period and how they'd respond to a counter-offer.</w:t>
            </w:r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  <w:tr>
        <w:tc>
          <w:tcPr>
            <w:tcW w:type="dxa" w:w="2579"/>
          </w:tcPr>
          <w:p>
            <w:r>
              <w:rPr>
                <w:b/>
              </w:rPr>
              <w:t>Communication</w:t>
            </w:r>
          </w:p>
          <w:p>
            <w:r>
              <w:rPr>
                <w:sz w:val="16"/>
              </w:rPr>
              <w:t>Explains the numbers clearly to finance and non-finance colleagues.</w:t>
            </w:r>
          </w:p>
        </w:tc>
        <w:tc>
          <w:tcPr>
            <w:tcW w:type="dxa" w:w="2579"/>
          </w:tcPr>
          <w:p>
            <w:r>
              <w:t>Explains a variance or a technical point in plain English, listens, and adapts to the audience.</w:t>
            </w:r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  <w:tr>
        <w:tc>
          <w:tcPr>
            <w:tcW w:type="dxa" w:w="2579"/>
          </w:tcPr>
          <w:p>
            <w:r>
              <w:rPr>
                <w:b/>
              </w:rPr>
              <w:t>Technical background</w:t>
            </w:r>
          </w:p>
          <w:p>
            <w:r>
              <w:rPr>
                <w:sz w:val="16"/>
              </w:rPr>
              <w:t>Has the qualifications and hands-on experience the role needs from day one.</w:t>
            </w:r>
          </w:p>
        </w:tc>
        <w:tc>
          <w:tcPr>
            <w:tcW w:type="dxa" w:w="2579"/>
          </w:tcPr>
          <w:p>
            <w:r>
              <w:t>Relevant qualification (or qualified by experience) and recent, hands-on examples of the core work: month-end, reporting, systems, controls.</w:t>
            </w:r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</w:tbl>
    <w:p>
      <w:pPr>
        <w:jc w:val="right"/>
      </w:pPr>
      <w:r>
        <w:t>Baseline total: ______ / 25</w:t>
      </w:r>
    </w:p>
    <w:p>
      <w:r>
        <w:rPr>
          <w:b/>
          <w:color w:val="0C9787"/>
          <w:sz w:val="24"/>
        </w:rPr>
        <w:t>Role-specific technical must-haves</w:t>
      </w:r>
    </w:p>
    <w:p>
      <w:r>
        <w:t>Agree these before the first interview, e.g. "Owns a full month-end close", "Standard costing in a manufacturing environment".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shd w:val="clear" w:fill="0C9787"/>
          </w:tcPr>
          <w:p>
            <w:r>
              <w:rPr>
                <w:b/>
                <w:color w:val="FFFFFF"/>
              </w:rPr>
              <w:t>Must-have</w:t>
            </w:r>
          </w:p>
        </w:tc>
        <w:tc>
          <w:tcPr>
            <w:tcW w:type="dxa" w:w="2579"/>
            <w:shd w:val="clear" w:fill="0C9787"/>
          </w:tcPr>
          <w:p>
            <w:r>
              <w:rPr>
                <w:b/>
                <w:color w:val="FFFFFF"/>
              </w:rPr>
              <w:t>What good looks like</w:t>
            </w:r>
          </w:p>
        </w:tc>
        <w:tc>
          <w:tcPr>
            <w:tcW w:type="dxa" w:w="2579"/>
            <w:shd w:val="clear" w:fill="0C9787"/>
          </w:tcPr>
          <w:p>
            <w:r>
              <w:rPr>
                <w:b/>
                <w:color w:val="FFFFFF"/>
              </w:rPr>
              <w:t>Score (1–5)</w:t>
            </w:r>
          </w:p>
        </w:tc>
        <w:tc>
          <w:tcPr>
            <w:tcW w:type="dxa" w:w="2579"/>
            <w:shd w:val="clear" w:fill="0C9787"/>
          </w:tcPr>
          <w:p>
            <w:r>
              <w:rPr>
                <w:b/>
                <w:color w:val="FFFFFF"/>
              </w:rPr>
              <w:t>Evidence notes</w:t>
            </w:r>
          </w:p>
        </w:tc>
      </w:tr>
      <w:tr>
        <w:tc>
          <w:tcPr>
            <w:tcW w:type="dxa" w:w="2579"/>
          </w:tcPr>
          <w:p/>
        </w:tc>
        <w:tc>
          <w:tcPr>
            <w:tcW w:type="dxa" w:w="2579"/>
          </w:tcPr>
          <w:p>
            <w:r/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  <w:tr>
        <w:tc>
          <w:tcPr>
            <w:tcW w:type="dxa" w:w="2579"/>
          </w:tcPr>
          <w:p/>
        </w:tc>
        <w:tc>
          <w:tcPr>
            <w:tcW w:type="dxa" w:w="2579"/>
          </w:tcPr>
          <w:p>
            <w:r/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  <w:tr>
        <w:tc>
          <w:tcPr>
            <w:tcW w:type="dxa" w:w="2579"/>
          </w:tcPr>
          <w:p/>
        </w:tc>
        <w:tc>
          <w:tcPr>
            <w:tcW w:type="dxa" w:w="2579"/>
          </w:tcPr>
          <w:p>
            <w:r/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  <w:tr>
        <w:tc>
          <w:tcPr>
            <w:tcW w:type="dxa" w:w="2579"/>
          </w:tcPr>
          <w:p/>
        </w:tc>
        <w:tc>
          <w:tcPr>
            <w:tcW w:type="dxa" w:w="2579"/>
          </w:tcPr>
          <w:p>
            <w:r/>
          </w:p>
        </w:tc>
        <w:tc>
          <w:tcPr>
            <w:tcW w:type="dxa" w:w="2579"/>
          </w:tcPr>
          <w:p>
            <w:r>
              <w:t>☐1 ☐2 ☐3 ☐4 ☐5</w:t>
            </w:r>
          </w:p>
        </w:tc>
        <w:tc>
          <w:tcPr>
            <w:tcW w:type="dxa" w:w="2579"/>
          </w:tcPr>
          <w:p>
            <w:r>
              <w:br/>
              <w:br/>
            </w:r>
          </w:p>
        </w:tc>
      </w:tr>
    </w:tbl>
    <w:p>
      <w:pPr>
        <w:jc w:val="right"/>
      </w:pPr>
      <w:r>
        <w:t>Technical total: ______ / 20</w:t>
      </w:r>
    </w:p>
    <w:p>
      <w:r>
        <w:rPr>
          <w:b/>
          <w:color w:val="0C9787"/>
          <w:sz w:val="24"/>
        </w:rPr>
        <w:t>Overall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r>
              <w:t>Overall score</w:t>
              <w:br/>
              <w:br/>
              <w:t>______ / 45</w:t>
            </w:r>
          </w:p>
        </w:tc>
        <w:tc>
          <w:tcPr>
            <w:tcW w:type="dxa" w:w="3439"/>
          </w:tcPr>
          <w:p>
            <w:r>
              <w:t>Recommendation</w:t>
              <w:br/>
              <w:br/>
              <w:t>☐ Hire   ☐ No hire   ☐ Next stage</w:t>
            </w:r>
          </w:p>
        </w:tc>
        <w:tc>
          <w:tcPr>
            <w:tcW w:type="dxa" w:w="3439"/>
          </w:tcPr>
          <w:p>
            <w:r>
              <w:t>Key risks / counter-offer risk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t>Interviewer name &amp; signature:</w:t>
              <w:br/>
              <w:br/>
            </w:r>
          </w:p>
        </w:tc>
        <w:tc>
          <w:tcPr>
            <w:tcW w:type="dxa" w:w="5159"/>
          </w:tcPr>
          <w:p>
            <w:r>
              <w:t>Date:</w:t>
              <w:br/>
              <w:br/>
            </w:r>
          </w:p>
        </w:tc>
      </w:tr>
    </w:tbl>
    <w:p>
      <w:r>
        <w:rPr>
          <w:color w:val="666666"/>
          <w:sz w:val="15"/>
        </w:rPr>
        <w:t>Gravitate Recruitment Ltd · specialist finance recruitment consultancy · Queensgate House, 48 Queen Street, Exeter EX4 3SR · 01392 303061 · gravitaterecruitment.co.uk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